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mc="http://schemas.openxmlformats.org/markup-compatibility/2006" xmlns:ns3="http://schemas.openxmlformats.org/drawingml/2006/main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>
  <w:body>
    <w:p>
      <w:pPr>
        <w:pStyle w:val="Normal"/>
        <w:rPr/>
      </w:pPr>
      <w:r>
        <w:rPr/>
      </w:r>
    </w:p>
    <w:p>
      <w:pPr>
        <w:pStyle w:val="Style16"/>
        <w:numPr>
          <w:ilvl w:val="0"/>
          <w:numId w:val="1"/>
        </w:numPr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Идентификация продукта и Компании</w:t>
      </w:r>
    </w:p>
    <w:p>
      <w:pPr>
        <w:pStyle w:val="Style16"/>
        <w:ind w:left="36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Название продукта:</w:t>
      </w:r>
      <w:r>
        <w:rPr>
          <w:b/>
          <w:sz w:val="24"/>
          <w:szCs w:val="24"/>
        </w:rPr>
        <w:t xml:space="preserve"> ЛИМОННО-ХРОМОВЫЙ ЖЕЛТЫЙ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b/>
          <w:kern w:val="0"/>
        </w:rPr>
        <w:t>C</w:t>
      </w:r>
      <w:r>
        <w:rPr>
          <w:b/>
          <w:sz w:val="24"/>
          <w:szCs w:val="24"/>
        </w:rPr>
        <w:t>.I.</w:t>
      </w:r>
      <w:r>
        <w:rPr>
          <w:sz w:val="24"/>
          <w:szCs w:val="24"/>
        </w:rPr>
        <w:t>ПИГМЕНТ ЖЕЛТЫЙ 34 (77603)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b/>
          <w:sz w:val="24"/>
          <w:szCs w:val="24"/>
        </w:rPr>
        <w:t>НОМЕР CAS</w:t>
      </w:r>
      <w:r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13</w:t>
      </w:r>
      <w:r>
        <w:rPr>
          <w:sz w:val="24"/>
          <w:szCs w:val="24"/>
        </w:rPr>
        <w:t>44-37-2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b/>
          <w:sz w:val="24"/>
          <w:szCs w:val="24"/>
        </w:rPr>
        <w:t>Химическая формула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2PbCrO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·</w:t>
      </w:r>
      <w:r>
        <w:rPr>
          <w:sz w:val="24"/>
          <w:szCs w:val="24"/>
        </w:rPr>
        <w:t>PbSO</w:t>
      </w:r>
      <w:r>
        <w:rPr>
          <w:sz w:val="24"/>
          <w:szCs w:val="24"/>
          <w:vertAlign w:val="subscript"/>
        </w:rPr>
        <w:t>.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Производитель: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ZHEJIANG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TONGCHE</w:t>
      </w:r>
      <w:r>
        <w:rPr>
          <w:sz w:val="24"/>
          <w:szCs w:val="24"/>
        </w:rPr>
        <w:t>M INDUSTRY GROUP</w:t>
      </w:r>
      <w:r>
        <w:rPr>
          <w:sz w:val="24"/>
          <w:szCs w:val="24"/>
        </w:rPr>
        <w:t xml:space="preserve"> CO., LTD.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ДОБАВИТЬ:</w:t>
      </w:r>
      <w:r>
        <w:rPr>
          <w:sz w:val="24"/>
          <w:szCs w:val="24"/>
        </w:rPr>
        <w:t xml:space="preserve"> 621, NORTH YINGXI ROAD УКАН 313200 ДЭЦИН, ЧЖЭЦЗЯН, КИТАЙ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ТЕЛ.: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86 572 8820386, 8820367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</w:t>
      </w:r>
      <w:r>
        <w:rPr>
          <w:b/>
          <w:sz w:val="24"/>
          <w:szCs w:val="24"/>
        </w:rPr>
        <w:t>FAX: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86 572 8820368, 8323599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http:</w:t>
      </w:r>
      <w:r>
        <w:rPr>
          <w:sz w:val="24"/>
          <w:szCs w:val="24"/>
        </w:rPr>
        <w:t xml:space="preserve">//www.tongchem.com</w:t>
      </w:r>
      <w:r>
        <w:rPr>
          <w:b/>
          <w:sz w:val="24"/>
          <w:szCs w:val="24"/>
        </w:rPr>
        <w:t>Электронная почта: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info@tongchem.com</w:t>
      </w:r>
    </w:p>
    <w:p>
      <w:pPr>
        <w:pStyle w:val="Style16"/>
        <w:numPr>
          <w:ilvl w:val="0"/>
          <w:numId w:val="1"/>
        </w:numPr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Состав / Информация об ингредиентах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b/>
          <w:sz w:val="24"/>
          <w:szCs w:val="24"/>
        </w:rPr>
        <w:t>НОМЕР CAS:</w:t>
      </w:r>
      <w:r>
        <w:rPr>
          <w:sz w:val="24"/>
          <w:szCs w:val="24"/>
        </w:rPr>
        <w:t xml:space="preserve"> 13</w:t>
      </w:r>
      <w:r>
        <w:rPr>
          <w:sz w:val="24"/>
          <w:szCs w:val="24"/>
        </w:rPr>
        <w:t>44-37-2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b/>
          <w:sz w:val="24"/>
          <w:szCs w:val="24"/>
        </w:rPr>
        <w:t>Химическая формула:</w:t>
      </w:r>
      <w:r>
        <w:rPr>
          <w:sz w:val="24"/>
          <w:szCs w:val="24"/>
        </w:rPr>
        <w:t xml:space="preserve"> 2PbCrO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·</w:t>
      </w:r>
      <w:r>
        <w:rPr>
          <w:sz w:val="24"/>
          <w:szCs w:val="24"/>
        </w:rPr>
        <w:t>PbSO</w:t>
      </w:r>
      <w:r>
        <w:rPr>
          <w:sz w:val="24"/>
          <w:szCs w:val="24"/>
          <w:vertAlign w:val="subscript"/>
        </w:rPr>
        <w:t>4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Стандарт информирования об опасности OSHA</w:t>
      </w:r>
      <w:r>
        <w:rPr>
          <w:b/>
          <w:sz w:val="24"/>
          <w:szCs w:val="24"/>
        </w:rPr>
        <w:t>’</w:t>
      </w:r>
      <w:r>
        <w:rPr>
          <w:b/>
          <w:sz w:val="24"/>
          <w:szCs w:val="24"/>
        </w:rPr>
        <w:t xml:space="preserve"> (29 CFR 1910.1200): </w:t>
      </w:r>
      <w:r>
        <w:rPr>
          <w:sz w:val="24"/>
          <w:szCs w:val="24"/>
        </w:rPr>
        <w:t>Это вещество не считается опасным веществом, как определено в стандарте информирования об опасности OSHA.</w:t>
      </w:r>
    </w:p>
    <w:p>
      <w:pPr>
        <w:pStyle w:val="Style16"/>
        <w:numPr>
          <w:ilvl w:val="0"/>
          <w:numId w:val="1"/>
        </w:numPr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Идентификация опасностей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sz w:val="24"/>
          <w:szCs w:val="24"/>
        </w:rPr>
        <w:t>Не классифицируется как опасный при поставке или перевозке в соответствии с директивами EEC 67/548, 77/728, 88/379, 91/155.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sz w:val="24"/>
          <w:szCs w:val="24"/>
        </w:rPr>
        <w:t>Данный продукт соответствует Типовому законодательству CONEG в отношении упаковки и компонентов чернил.</w:t>
      </w:r>
    </w:p>
    <w:p>
      <w:pPr>
        <w:pStyle w:val="Style16"/>
        <w:numPr>
          <w:ilvl w:val="0"/>
          <w:numId w:val="1"/>
        </w:numPr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Меры первой помощи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b/>
          <w:sz w:val="24"/>
          <w:szCs w:val="24"/>
        </w:rPr>
        <w:t>Попадание в глаза:</w:t>
      </w:r>
      <w:r>
        <w:rPr>
          <w:sz w:val="24"/>
          <w:szCs w:val="24"/>
        </w:rPr>
        <w:t xml:space="preserve"> Попадание пигмента в глаза может вызвать раздражение. В этом случае тщательно промойте глаза водой в течение не менее 15 минут. Если раздражение не проходит, обратитесь к врачу.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Контакт с кожей:</w:t>
      </w:r>
      <w:r>
        <w:rPr>
          <w:sz w:val="24"/>
          <w:szCs w:val="24"/>
        </w:rPr>
        <w:t xml:space="preserve"> Попадание пигмента на кожу может вызвать раздражение. В этом случае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вымойте кожу водой с мылом. Снимите сильно загрязненную одежду и почистите перед повторным использованием. Если раздражение не проходит, обратитесь к врачу.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Вдыхание:</w:t>
      </w:r>
      <w:r>
        <w:rPr>
          <w:sz w:val="24"/>
          <w:szCs w:val="24"/>
        </w:rPr>
        <w:t xml:space="preserve"> В случае вдыхания пигмента, вызывающего затруднение дыхания, выйдите на свежий воздух. При необходимости обратитесь к врачу.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Попадание внутрь:</w:t>
      </w:r>
      <w:r>
        <w:rPr>
          <w:sz w:val="24"/>
          <w:szCs w:val="24"/>
        </w:rPr>
        <w:t xml:space="preserve"> В случае попадания пигмента внутрь он не считается токсичным. При проглатывании разбавьте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водой и вызовите рвоту. Никогда не давайте жидкости и не вызывайте рвоту человеку, находящемуся без сознания или страдающему судорогами. В этом случае немедленно обратитесь к врачу.</w:t>
      </w:r>
    </w:p>
    <w:p>
      <w:pPr>
        <w:pStyle w:val="Style16"/>
        <w:numPr>
          <w:ilvl w:val="0"/>
          <w:numId w:val="1"/>
        </w:numPr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Меры по тушению пожара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Класс воспламеняемости:</w:t>
      </w:r>
      <w:r>
        <w:rPr>
          <w:sz w:val="24"/>
          <w:szCs w:val="24"/>
        </w:rPr>
        <w:t xml:space="preserve"> Негорючий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Огнетушащее средство:</w:t>
      </w:r>
      <w:r>
        <w:rPr>
          <w:sz w:val="24"/>
          <w:szCs w:val="24"/>
        </w:rPr>
        <w:t xml:space="preserve"> Углекислый газ, сухой химикат или пена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Особые процедуры пожаротушения:</w:t>
      </w:r>
      <w:r>
        <w:rPr>
          <w:sz w:val="24"/>
          <w:szCs w:val="24"/>
        </w:rPr>
        <w:t xml:space="preserve"> Надевайте автономный дыхательный аппарат и полное защитное снаряжение</w:t>
      </w:r>
    </w:p>
    <w:p>
      <w:pPr>
        <w:pStyle w:val="Style16"/>
        <w:numPr>
          <w:ilvl w:val="0"/>
          <w:numId w:val="1"/>
        </w:numPr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Меры по аварийному высвобождению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Меры предосторожности в отношении окружающей среды:</w:t>
      </w:r>
      <w:r>
        <w:rPr>
          <w:sz w:val="24"/>
          <w:szCs w:val="24"/>
        </w:rPr>
        <w:t xml:space="preserve"> Находящаяся в воздухе неорганическая пигментная пыль может представлять опасность взрыва. Устраните источник воспламенения и избегайте поднятия пыли. Проветрите помещение.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Способы очистки:</w:t>
      </w:r>
      <w:r>
        <w:rPr>
          <w:sz w:val="24"/>
          <w:szCs w:val="24"/>
        </w:rPr>
        <w:t xml:space="preserve"> Возьмите механически, поместите в пакет и подержите для утилизации. Промойте место разлива после сбора материала.</w:t>
      </w:r>
    </w:p>
    <w:p>
      <w:pPr>
        <w:pStyle w:val="Style16"/>
        <w:numPr>
          <w:ilvl w:val="0"/>
          <w:numId w:val="1"/>
        </w:numPr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Обращение и хранение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Обращение:</w:t>
      </w:r>
      <w:r>
        <w:rPr>
          <w:sz w:val="24"/>
          <w:szCs w:val="24"/>
        </w:rPr>
        <w:t xml:space="preserve"> Избегайте образования пыли. В случае образования пыли примите меры предосторожности против выбросов.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Хранение:</w:t>
      </w:r>
      <w:r>
        <w:rPr>
          <w:sz w:val="24"/>
          <w:szCs w:val="24"/>
        </w:rPr>
        <w:t xml:space="preserve"> Держите упаковку плотно закрытой и храните в сухом и прохладном месте с достаточной вентиляцией.</w:t>
      </w:r>
    </w:p>
    <w:p>
      <w:pPr>
        <w:pStyle w:val="Style16"/>
        <w:numPr>
          <w:ilvl w:val="0"/>
          <w:numId w:val="1"/>
        </w:numPr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Контроль воздействия и средства индивидуальной защиты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Защита органов дыхания:</w:t>
      </w:r>
      <w:r>
        <w:rPr>
          <w:sz w:val="24"/>
          <w:szCs w:val="24"/>
        </w:rPr>
        <w:t xml:space="preserve"> При вскрытии упаковки используйте респиратор.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Вентиляция:</w:t>
      </w:r>
      <w:r>
        <w:rPr>
          <w:sz w:val="24"/>
          <w:szCs w:val="24"/>
        </w:rPr>
        <w:t xml:space="preserve"> Местная вытяжная или защитная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 xml:space="preserve">Защита рук: Рекомендуется использовать </w:t>
      </w:r>
      <w:r>
        <w:rPr>
          <w:sz w:val="24"/>
          <w:szCs w:val="24"/>
        </w:rPr>
        <w:t>Резиновые перчатки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Защита глаз:</w:t>
      </w:r>
      <w:r>
        <w:rPr>
          <w:sz w:val="24"/>
          <w:szCs w:val="24"/>
        </w:rPr>
        <w:t xml:space="preserve"> Избегайте попадания в глаза, рекомендуется использовать защитные очки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Защита тела:</w:t>
      </w:r>
      <w:r>
        <w:rPr>
          <w:sz w:val="24"/>
          <w:szCs w:val="24"/>
        </w:rPr>
        <w:t xml:space="preserve"> Непроницаемая одежда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sz w:val="24"/>
          <w:szCs w:val="24"/>
        </w:rPr>
        <w:t>Рекомендации по индивидуальной защите в соответствии с надлежащей производственной гигиеной и техникой безопасности.</w:t>
      </w:r>
    </w:p>
    <w:p>
      <w:pPr>
        <w:pStyle w:val="Style16"/>
        <w:numPr>
          <w:ilvl w:val="0"/>
          <w:numId w:val="1"/>
        </w:numPr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Физические и химические свойства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Внешнийвид:</w:t>
      </w:r>
      <w:r>
        <w:rPr>
          <w:sz w:val="24"/>
          <w:szCs w:val="24"/>
        </w:rPr>
        <w:t xml:space="preserve"> Порошок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Цвет: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Желтый</w:t>
      </w:r>
      <w:r>
        <w:rPr>
          <w:sz w:val="24"/>
          <w:szCs w:val="24"/>
        </w:rPr>
        <w:t xml:space="preserve"> 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Запах:</w:t>
      </w:r>
      <w:r>
        <w:rPr>
          <w:sz w:val="24"/>
          <w:szCs w:val="24"/>
        </w:rPr>
        <w:t xml:space="preserve"> Без запаха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pH:</w:t>
      </w:r>
      <w:r>
        <w:rPr>
          <w:sz w:val="24"/>
          <w:szCs w:val="24"/>
        </w:rPr>
        <w:t xml:space="preserve"> Нет данных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Температура кипения:</w:t>
      </w:r>
      <w:r>
        <w:rPr>
          <w:sz w:val="24"/>
          <w:szCs w:val="24"/>
        </w:rPr>
        <w:t xml:space="preserve"> N/A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Температура плавления:</w:t>
      </w:r>
      <w:r>
        <w:rPr>
          <w:sz w:val="24"/>
          <w:szCs w:val="24"/>
        </w:rPr>
        <w:t xml:space="preserve"> N/A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 xml:space="preserve">Температура воспламенения: </w:t>
      </w:r>
      <w:r>
        <w:rPr>
          <w:sz w:val="24"/>
          <w:szCs w:val="24"/>
        </w:rPr>
        <w:t>Нет данных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Растворимость в воде:</w:t>
      </w:r>
      <w:r>
        <w:rPr>
          <w:sz w:val="24"/>
          <w:szCs w:val="24"/>
        </w:rPr>
        <w:t xml:space="preserve"> Нерастворимый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Давление пара:</w:t>
      </w:r>
      <w:r>
        <w:rPr>
          <w:sz w:val="24"/>
          <w:szCs w:val="24"/>
        </w:rPr>
        <w:t xml:space="preserve"> Не применимо</w:t>
      </w:r>
    </w:p>
    <w:p>
      <w:pPr>
        <w:pStyle w:val="Style16"/>
        <w:numPr>
          <w:ilvl w:val="0"/>
          <w:numId w:val="1"/>
        </w:numPr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Стабильность и реактивность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sz w:val="24"/>
          <w:szCs w:val="24"/>
        </w:rPr>
        <w:t>Этот продукт представляет собой стабильное соединение при нормальных условиях хранения, и опасной полимеризации не произойдет.</w:t>
      </w:r>
    </w:p>
    <w:p>
      <w:pPr>
        <w:pStyle w:val="Style16"/>
        <w:numPr>
          <w:ilvl w:val="0"/>
          <w:numId w:val="1"/>
        </w:numPr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Токсикологическая информация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sz w:val="24"/>
          <w:szCs w:val="24"/>
        </w:rPr>
        <w:t>Данные токсикологических испытаний: Основываясь на общепромышленном опыте и опубликованных токсикологических исследованиях, неорганические пигменты в целом считаются практически нетоксичными. Опубликованные данные отсутствуют.</w:t>
      </w:r>
    </w:p>
    <w:p>
      <w:pPr>
        <w:pStyle w:val="Style16"/>
        <w:numPr>
          <w:ilvl w:val="0"/>
          <w:numId w:val="1"/>
        </w:numPr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Экологическая информация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sz w:val="24"/>
          <w:szCs w:val="24"/>
        </w:rPr>
        <w:t>Будучи химически инертными и практически нерастворимыми в воде, неорганические пигменты не представляют опасности для окружающей среды. Они могут быть практически удалены из сточных вод механическим способом на подходящих установках по очистке сточных вод.</w:t>
      </w:r>
    </w:p>
    <w:p>
      <w:pPr>
        <w:pStyle w:val="Style16"/>
        <w:numPr>
          <w:ilvl w:val="0"/>
          <w:numId w:val="1"/>
        </w:numPr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Утилизация отходов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sz w:val="24"/>
          <w:szCs w:val="24"/>
        </w:rPr>
        <w:t>Утилизировать (выбрасывать на свалку или сжигать) в соответствии с применимыми федеральными, государственными и местными нормативными актами.</w:t>
      </w:r>
    </w:p>
    <w:p>
      <w:pPr>
        <w:pStyle w:val="Style1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Транспортная информация</w: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margin">
                  <wp:posOffset>267335</wp:posOffset>
                </wp:positionH>
                <wp:positionV relativeFrom="paragraph">
                  <wp:posOffset>416560</wp:posOffset>
                </wp:positionV>
                <wp:extent cx="5448935" cy="1563370"/>
                <wp:effectExtent l="0" t="0" r="0" b="0"/>
                <wp:wrapSquare wrapText="bothSides"/>
                <wp:docPr id="1" name="Frame1"/>
                <ns3:graphic>
                  <ns3:graphicData uri="http://schemas.microsoft.com/office/word/2010/wordprocessingShape">
                    <wps:wsp>
                      <wps:cNvSpPr txBox="1"/>
                      <wps:spPr>
                        <ns3:xfrm>
                          <ns3:off x="0" y="0"/>
                          <ns3:ext cx="5448935" cy="1563370"/>
                        </ns3:xfrm>
                        <ns3:prstGeom prst="rect"/>
                        <ns3:solidFill>
                          <ns3:srgbClr val="FFFFFF">
                            <ns3:alpha val="0"/>
                          </ns3:srgbClr>
                        </ns3:solidFill>
                      </wps:spPr>
                      <wps:txbx>
                        <w:txbxContent>
                          <w:tbl>
                            <w:tblPr>
                              <w:tblW w:w="8581" w:type="dxa"/>
                              <w:jc w:val="left"/>
                              <w:tblInd w:w="108" w:type="dxa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637"/>
                              <w:gridCol w:w="2944"/>
                            </w:tblGrid>
                            <w:tr>
                              <w:trPr>
                                <w:trHeight w:val="331" w:hRule="atLeast"/>
                              </w:trPr>
                              <w:tc>
                                <w:tcPr>
                                  <w:tcW w:w="56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Отгрузочное наименование D.O.T. (49 CFR 172.101-102):</w:t>
                                  </w:r>
                                </w:p>
                              </w:tc>
                              <w:tc>
                                <w:tcPr>
                                  <w:tcW w:w="29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Нет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1" w:hRule="atLeast"/>
                              </w:trPr>
                              <w:tc>
                                <w:tcPr>
                                  <w:tcW w:w="56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Класс опасности D.O.T. (49 CFR 172.101-102):</w:t>
                                  </w:r>
                                </w:p>
                              </w:tc>
                              <w:tc>
                                <w:tcPr>
                                  <w:tcW w:w="29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Нет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56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Маркировка D.O.T.: </w:t>
                                  </w:r>
                                </w:p>
                              </w:tc>
                              <w:tc>
                                <w:tcPr>
                                  <w:tcW w:w="29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Нет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1" w:hRule="atLeast"/>
                              </w:trPr>
                              <w:tc>
                                <w:tcPr>
                                  <w:tcW w:w="56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Наземный транспорт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ADR/RID/GGVS/GGVE UN – No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Отсутствует / Не регулируется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1" w:hRule="atLeast"/>
                              </w:trPr>
                              <w:tc>
                                <w:tcPr>
                                  <w:tcW w:w="56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Морской транспорт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IMDG/GGVSEE UN – No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Нет / Не регулируется</w:t>
                                  </w:r>
                                </w:p>
                              </w:tc>
                              <w:tc>
                                <w:tcPr>
                                  <w:tcW w:w="29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Воздушный транспорт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1" w:hRule="atLeast"/>
                              </w:trPr>
                              <w:tc>
                                <w:tcPr>
                                  <w:tcW w:w="56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Воздушный транспорт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TCAO/TATA UN-Идентификационный номер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9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Отсутствует / Не регулируется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ns3:noAutofit/>
                      </wps:bodyPr>
                    </wps:wsp>
                  </ns3:graphicData>
                </ns3:graphic>
              </wp:anchor>
            </w:drawing>
          </mc:Choice>
          <mc:Fallback>
            <w:pict>
              <v:rect fillcolor="#FFFFFF" style="position:absolute;rotation:0;width:429.05pt;height:123.1pt;mso-wrap-distance-left:9pt;mso-wrap-distance-right:9pt;mso-wrap-distance-top:0pt;mso-wrap-distance-bottom:0pt;margin-top:32.8pt;mso-position-vertical-relative:text;margin-left:21.05pt;mso-position-horizontal-relative:margin">
                <v:fill opacity="0f"/>
                <v:textbox inset="0in,0in,0in,0in">
                  <w:txbxContent>
                    <w:tbl>
                      <w:tblPr>
                        <w:tblW w:w="8581" w:type="dxa"/>
                        <w:jc w:val="left"/>
                        <w:tblInd w:w="108" w:type="dxa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637"/>
                        <w:gridCol w:w="2944"/>
                      </w:tblGrid>
                      <w:tr>
                        <w:trPr>
                          <w:trHeight w:val="331" w:hRule="atLeast"/>
                        </w:trPr>
                        <w:tc>
                          <w:tcPr>
                            <w:tcW w:w="56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Отгрузочное наименование D.O.T. (49 CFR 172.101-102):</w:t>
                            </w:r>
                          </w:p>
                        </w:tc>
                        <w:tc>
                          <w:tcPr>
                            <w:tcW w:w="29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Нет</w:t>
                            </w:r>
                          </w:p>
                        </w:tc>
                      </w:tr>
                      <w:tr>
                        <w:trPr>
                          <w:trHeight w:val="331" w:hRule="atLeast"/>
                        </w:trPr>
                        <w:tc>
                          <w:tcPr>
                            <w:tcW w:w="56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Класс опасности D.O.T. (49 CFR 172.101-102):</w:t>
                            </w:r>
                          </w:p>
                        </w:tc>
                        <w:tc>
                          <w:tcPr>
                            <w:tcW w:w="29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Нет</w:t>
                            </w:r>
                          </w:p>
                        </w:tc>
                      </w:tr>
                      <w:tr>
                        <w:trPr>
                          <w:trHeight w:val="319" w:hRule="atLeast"/>
                        </w:trPr>
                        <w:tc>
                          <w:tcPr>
                            <w:tcW w:w="56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Маркировка D.O.T.: </w:t>
                            </w:r>
                          </w:p>
                        </w:tc>
                        <w:tc>
                          <w:tcPr>
                            <w:tcW w:w="29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Нет</w:t>
                            </w:r>
                          </w:p>
                        </w:tc>
                      </w:tr>
                      <w:tr>
                        <w:trPr>
                          <w:trHeight w:val="331" w:hRule="atLeast"/>
                        </w:trPr>
                        <w:tc>
                          <w:tcPr>
                            <w:tcW w:w="56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Наземный транспорт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ADR/RID/GGVS/GGVE UN – No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9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Отсутствует / Не регулируется</w:t>
                            </w:r>
                          </w:p>
                        </w:tc>
                      </w:tr>
                      <w:tr>
                        <w:trPr>
                          <w:trHeight w:val="331" w:hRule="atLeast"/>
                        </w:trPr>
                        <w:tc>
                          <w:tcPr>
                            <w:tcW w:w="56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Морской транспорт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IMDG/GGVSEE UN – No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Нет / Не регулируется</w:t>
                            </w:r>
                          </w:p>
                        </w:tc>
                        <w:tc>
                          <w:tcPr>
                            <w:tcW w:w="29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Воздушный транспорт</w:t>
                            </w:r>
                          </w:p>
                        </w:tc>
                      </w:tr>
                      <w:tr>
                        <w:trPr>
                          <w:trHeight w:val="331" w:hRule="atLeast"/>
                        </w:trPr>
                        <w:tc>
                          <w:tcPr>
                            <w:tcW w:w="56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Воздушный транспорт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TCAO/TATA UN-Идентификационный номер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9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Отсутствует / Не регулируется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sz w:val="24"/>
          <w:szCs w:val="24"/>
        </w:rPr>
        <w:t>Этот продукт не классифицируется как опасный согласно соответствующим директивам ЕС и правилам DOT. Таким образом, он не представляет опасности согласно правилам транспортировки</w:t>
      </w:r>
    </w:p>
    <w:p>
      <w:pPr>
        <w:pStyle w:val="Style1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Нормативная информация</w:t>
      </w:r>
    </w:p>
    <w:p>
      <w:pPr>
        <w:pStyle w:val="Style16"/>
        <w:ind w:left="36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Стандарт информирования об опасности OSHA: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sz w:val="24"/>
          <w:szCs w:val="24"/>
        </w:rPr>
        <w:t>Этот продукт не считается опасным веществом в соответствии с Федеральным стандартом OSHA по информированию об опасности 29 CFR 1910.1200.</w:t>
      </w:r>
    </w:p>
    <w:p>
      <w:pPr>
        <w:pStyle w:val="Style16"/>
        <w:ind w:left="36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Закон о контроле за токсичными веществами (TSCA):</w:t>
      </w:r>
      <w:r>
        <w:rPr>
          <w:b/>
          <w:sz w:val="24"/>
          <w:szCs w:val="24"/>
        </w:rPr>
        <w:t xml:space="preserve"> 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sz w:val="24"/>
          <w:szCs w:val="24"/>
        </w:rPr>
        <w:t>Все ингредиенты этого материала были переданы в Агентство по охране окружающей среды США и включены в перечень химических веществ TSCA.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Раздел III SARA: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Раздел 302 (EHS): Отсутствует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Раздел 311/312 (Острый):</w:t>
      </w:r>
      <w:r>
        <w:rPr>
          <w:sz w:val="24"/>
          <w:szCs w:val="24"/>
        </w:rPr>
        <w:t xml:space="preserve"> Отсутствует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Раздел 313:</w:t>
      </w:r>
      <w:r>
        <w:rPr>
          <w:sz w:val="24"/>
          <w:szCs w:val="24"/>
        </w:rPr>
        <w:t xml:space="preserve"> Отсутствует</w:t>
      </w:r>
    </w:p>
    <w:p>
      <w:pPr>
        <w:pStyle w:val="Style16"/>
        <w:ind w:left="360" w:hanging="0"/>
        <w:rPr/>
      </w:pPr>
      <w:r>
        <w:rPr>
          <w:b/>
          <w:sz w:val="24"/>
          <w:szCs w:val="24"/>
        </w:rPr>
        <w:t>CONEG: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Этот продукт сертифицирован на полное соответствие законодательству CONEG в отношении упаковки и компонентов чернил в отношении шестивалентного хрома, кадмия, свинца и ртути.</w:t>
      </w:r>
    </w:p>
    <w:p>
      <w:pPr>
        <w:pStyle w:val="Style1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Другая информация</w:t>
      </w:r>
    </w:p>
    <w:p>
      <w:pPr>
        <w:pStyle w:val="Style16"/>
        <w:ind w:left="360" w:hanging="0"/>
        <w:rPr>
          <w:sz w:val="24"/>
          <w:szCs w:val="24"/>
        </w:rPr>
      </w:pPr>
      <w:r>
        <w:rPr>
          <w:sz w:val="24"/>
          <w:szCs w:val="24"/>
        </w:rPr>
        <w:t>Эта содержащаяся информация предоставлена добросовестно. Хотя он основан на данных из источников, считающихся надежными, TONGCHEM не может гарантировать его точность и не несет никакой ответственности за условия, возникающие в результате его использования.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274" w:header="426" w:top="1522" w:footer="992" w:bottom="1048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>
        <w:rFonts w:eastAsia="Calibri" w:cs="Calibri"/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  <w:r>
      <w:rPr>
        <w:rFonts w:eastAsia="Calibri" w:cs="Calibri"/>
        <w:lang w:val="zh-CN"/>
      </w:rPr>
      <w:t xml:space="preserve"> </w:t>
    </w:r>
    <w:r>
      <w:rPr>
        <w:lang w:val="zh-CN"/>
      </w:rPr>
      <w:t xml:space="preserve">/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> NUMPAGES \* ARABIC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ind w:firstLine="1413"/>
      <w:jc w:val="left"/>
      <w:rPr>
        <w:b/>
        <w:b/>
        <w:sz w:val="44"/>
        <w:szCs w:val="44"/>
      </w:rPr>
    </w:pPr>
    <w:r>
      <w:drawing>
        <wp:anchor behindDoc="1" distT="0" distB="0" distL="114935" distR="114935" simplePos="0" locked="0" layoutInCell="1" allowOverlap="1" relativeHeight="6">
          <wp:simplePos x="0" y="0"/>
          <wp:positionH relativeFrom="column">
            <wp:posOffset>4836795</wp:posOffset>
          </wp:positionH>
          <wp:positionV relativeFrom="paragraph">
            <wp:posOffset>-140335</wp:posOffset>
          </wp:positionV>
          <wp:extent cx="1043940" cy="1104265"/>
          <wp:effectExtent l="0" t="0" r="0" b="0"/>
          <wp:wrapNone/>
          <wp:docPr id="2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" t="-2" r="-2" b="-2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1104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44"/>
        <w:szCs w:val="44"/>
      </w:rPr>
      <w:t>M</w:t>
    </w:r>
    <w:r>
      <w:rPr>
        <w:b/>
        <w:sz w:val="44"/>
        <w:szCs w:val="44"/>
      </w:rPr>
      <w:t>aterial Safety Data Sheet</w:t>
    </w:r>
  </w:p>
  <w:p>
    <w:pPr>
      <w:pStyle w:val="Header"/>
      <w:ind w:firstLine="1417"/>
      <w:jc w:val="left"/>
      <w:rPr>
        <w:sz w:val="28"/>
        <w:szCs w:val="28"/>
      </w:rPr>
    </w:pPr>
    <w:r>
      <w:rPr>
        <w:sz w:val="28"/>
        <w:szCs w:val="28"/>
      </w:rPr>
      <w:t>Commercial Product Name: LEMON CHROME YELLOW</w:t>
    </w:r>
  </w:p>
  <w:p>
    <w:pPr>
      <w:pStyle w:val="Header"/>
      <w:ind w:firstLine="1417"/>
      <w:jc w:val="left"/>
      <w:rPr>
        <w:sz w:val="28"/>
        <w:szCs w:val="28"/>
      </w:rPr>
    </w:pPr>
    <w:r>
      <w:rPr>
        <w:sz w:val="28"/>
        <w:szCs w:val="28"/>
      </w:rPr>
      <w:t>Revision data: 15.05.2017</w:t>
    </w:r>
  </w:p>
  <w:p>
    <w:pPr>
      <w:pStyle w:val="Header"/>
      <w:ind w:firstLine="1417"/>
      <w:jc w:val="left"/>
      <w:rPr>
        <w:sz w:val="28"/>
        <w:szCs w:val="28"/>
      </w:rPr>
    </w:pPr>
    <w:r>
      <w:rPr>
        <w:sz w:val="28"/>
        <w:szCs w:val="28"/>
      </w:rPr>
      <w:t>Version: 1.0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  <w:rPr/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  <w:rPr/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420"/>
  <w:compat>
    <w:doNotExpandShiftReturn/>
  </w:compat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 PL UMing CN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Calibri" w:hAnsi="Calibri" w:eastAsia="宋体;SimSun" w:cs="Times New Roman"/>
      <w:color w:val="auto"/>
      <w:kern w:val="2"/>
      <w:sz w:val="21"/>
      <w:szCs w:val="22"/>
      <w:lang w:val="en-US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4">
    <w:name w:val="默认段落字体"/>
    <w:qFormat/>
    <w:rPr/>
  </w:style>
  <w:style w:type="character" w:styleId="Char">
    <w:name w:val="页眉 Char"/>
    <w:qFormat/>
    <w:rPr>
      <w:sz w:val="18"/>
      <w:szCs w:val="18"/>
    </w:rPr>
  </w:style>
  <w:style w:type="character" w:styleId="Char1">
    <w:name w:val="页脚 Char"/>
    <w:qFormat/>
    <w:rPr>
      <w:sz w:val="18"/>
      <w:szCs w:val="18"/>
    </w:rPr>
  </w:style>
  <w:style w:type="character" w:styleId="Char2">
    <w:name w:val="批注框文本 Char"/>
    <w:qFormat/>
    <w:rPr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AR PL UMing CN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5">
    <w:name w:val="批注框文本"/>
    <w:basedOn w:val="Normal"/>
    <w:qFormat/>
    <w:pPr/>
    <w:rPr>
      <w:kern w:val="0"/>
      <w:sz w:val="18"/>
      <w:szCs w:val="18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kern w:val="0"/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kern w:val="0"/>
      <w:sz w:val="18"/>
      <w:szCs w:val="18"/>
    </w:rPr>
  </w:style>
  <w:style w:type="paragraph" w:styleId="Style16">
    <w:name w:val="列出段落"/>
    <w:basedOn w:val="Normal"/>
    <w:qFormat/>
    <w:pPr>
      <w:ind w:firstLine="420"/>
    </w:pPr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LibreOffice/6.4.7.2$Linux_X86_64 LibreOffice_project/40$Build-2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2017-05-24T09:54:00Z</dcterms:created>
  <dc:creator>Yandex.Translate</dc:creator>
  <dc:description>Translated with Yandex.Translate</dc:description>
  <cp:keywords/>
  <dc:language>en-US</dc:language>
  <cp:lastModifiedBy>mrhede</cp:lastModifiedBy>
  <dcterms:modified xsi:type="dcterms:W3CDTF">2020-10-15T03:31:00Z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