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ns2="http://schemas.openxmlformats.org/drawingml/2006/main" xmlns:ns3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pStyle w:val="Normal"/>
        <w:autoSpaceDE w:val="false"/>
        <w:jc w:val="left"/>
        <w:rPr>
          <w:rFonts w:ascii="Arial-BoldMT;Arial" w:hAnsi="Arial-BoldMT;Arial" w:cs="Arial-BoldMT;Arial"/>
          <w:b/>
          <w:b/>
          <w:bCs/>
          <w:color w:val="000000"/>
          <w:kern w:val="0"/>
          <w:sz w:val="32"/>
          <w:szCs w:val="32"/>
          <w:lang w:val="en-US" w:eastAsia="en-US"/>
        </w:rPr>
      </w:pPr>
      <w:r>
        <w:rPr>
          <w:rFonts w:cs="Arial-BoldMT;Arial" w:ascii="Arial-BoldMT;Arial" w:hAnsi="Arial-BoldMT;Arial"/>
          <w:b/>
          <w:bCs/>
          <w:color w:val="000000"/>
          <w:kern w:val="0"/>
          <w:sz w:val="32"/>
          <w:szCs w:val="32"/>
          <w:lang w:val="en-US" w:eastAsia="en-US"/>
        </w:rPr>
        <w:drawing>
          <wp:anchor behindDoc="0" distT="0" distB="0" distL="114935" distR="114935" simplePos="0" locked="0" layoutInCell="1" allowOverlap="1" relativeHeight="2">
            <wp:simplePos x="0" y="0"/>
            <wp:positionH relativeFrom="column">
              <wp:posOffset>-699135</wp:posOffset>
            </wp:positionH>
            <wp:positionV relativeFrom="paragraph">
              <wp:posOffset>-726440</wp:posOffset>
            </wp:positionV>
            <wp:extent cx="7560310" cy="1557655"/>
            <wp:effectExtent l="0" t="0" r="0" b="0"/>
            <wp:wrapNone/>
            <wp:docPr id="1" name="图片 2" descr=""/>
            <wp:cNvGraphicFramePr>
              <ns2:graphicFrameLocks noChangeAspect="1"/>
            </wp:cNvGraphicFramePr>
            <ns2:graphic>
              <ns2:graphicData uri="http://schemas.openxmlformats.org/drawingml/2006/picture">
                <ns3:pic>
                  <ns3:nvPicPr>
                    <ns3:cNvPr id="1" name="图片 2" descr=""/>
                    <ns3:cNvPicPr>
                      <ns2:picLocks noChangeAspect="1" noChangeArrowheads="1"/>
                    </ns3:cNvPicPr>
                  </ns3:nvPicPr>
                  <ns3:blipFill>
                    <ns2:blip r:embed="rId2"/>
                    <ns2:srcRect l="-3" t="-17" r="-3" b="-17"/>
                    <ns2:stretch>
                      <ns2:fillRect/>
                    </ns2:stretch>
                  </ns3:blipFill>
                  <ns3:spPr bwMode="auto">
                    <ns2:xfrm>
                      <ns2:off x="0" y="0"/>
                      <ns2:ext cx="7560310" cy="1557655"/>
                    </ns2:xfrm>
                    <ns2:prstGeom prst="rect">
                      <ns2:avLst/>
                    </ns2:prstGeom>
                  </ns3:spPr>
                </ns3:pic>
              </ns2:graphicData>
            </ns2:graphic>
          </wp:anchor>
        </w:drawing>
      </w:r>
    </w:p>
    <w:p>
      <w:pPr>
        <w:pStyle w:val="Normal"/>
        <w:autoSpaceDE w:val="false"/>
        <w:jc w:val="left"/>
        <w:rPr>
          <w:rFonts w:ascii="Arial-BoldMT;Arial" w:hAnsi="Arial-BoldMT;Arial" w:cs="Arial-BoldMT;Arial"/>
          <w:b/>
          <w:b/>
          <w:bCs/>
          <w:color w:val="000000"/>
          <w:kern w:val="0"/>
          <w:sz w:val="32"/>
          <w:szCs w:val="32"/>
        </w:rPr>
      </w:pPr>
      <w:r>
        <w:rPr>
          <w:rFonts w:cs="Arial-BoldMT;Arial" w:ascii="Arial-BoldMT;Arial" w:hAnsi="Arial-BoldMT;Arial"/>
          <w:b/>
          <w:bCs/>
          <w:color w:val="000000"/>
          <w:kern w:val="0"/>
          <w:sz w:val="32"/>
          <w:szCs w:val="32"/>
        </w:rPr>
      </w:r>
    </w:p>
    <w:p>
      <w:pPr>
        <w:pStyle w:val="Normal"/>
        <w:autoSpaceDE w:val="false"/>
        <w:jc w:val="left"/>
        <w:rPr>
          <w:rFonts w:ascii="Arial-BoldMT;Arial" w:hAnsi="Arial-BoldMT;Arial" w:cs="Arial-BoldMT;Arial"/>
          <w:b/>
          <w:b/>
          <w:bCs/>
          <w:color w:val="000000"/>
          <w:kern w:val="0"/>
          <w:sz w:val="24"/>
          <w:szCs w:val="32"/>
        </w:rPr>
      </w:pPr>
      <w:r>
        <w:rPr>
          <w:rFonts w:cs="Arial-BoldMT;Arial" w:ascii="Arial-BoldMT;Arial" w:hAnsi="Arial-BoldMT;Arial"/>
          <w:b/>
          <w:bCs/>
          <w:color w:val="000000"/>
          <w:kern w:val="0"/>
          <w:sz w:val="24"/>
          <w:szCs w:val="32"/>
        </w:rPr>
      </w:r>
    </w:p>
    <w:p>
      <w:pPr>
        <w:pStyle w:val="Normal"/>
        <w:autoSpaceDE w:val="false"/>
        <w:jc w:val="left"/>
        <w:rPr>
          <w:rFonts w:ascii="ArialMT;Arial" w:hAnsi="ArialMT;Arial" w:cs="ArialMT;Arial"/>
          <w:kern w:val="0"/>
          <w:sz w:val="28"/>
          <w:szCs w:val="28"/>
        </w:rPr>
      </w:pPr>
      <w:r>
        <w:rPr>
          <w:rFonts w:cs="Arial-BoldMT;Arial" w:ascii="Arial-BoldMT;Arial" w:hAnsi="Arial-BoldMT;Arial"/>
          <w:b/>
          <w:bCs/>
          <w:color w:val="000000"/>
          <w:kern w:val="0"/>
          <w:sz w:val="32"/>
          <w:szCs w:val="32"/>
        </w:rPr>
        <w:t>ТЕХНИЧЕСКИЙ ПАСПОРТ</w:t>
      </w:r>
      <w:r>
        <w:rPr>
          <w:rFonts w:cs="Arial-BoldMT;Arial" w:ascii="Arial-BoldMT;Arial" w:hAnsi="Arial-BoldMT;Arial"/>
          <w:b/>
          <w:bCs/>
          <w:color w:val="000000"/>
          <w:kern w:val="0"/>
          <w:sz w:val="32"/>
          <w:szCs w:val="32"/>
        </w:rPr>
        <w:t xml:space="preserve"> </w:t>
      </w:r>
      <w:r>
        <w:rPr>
          <w:rFonts w:cs="ArialMT;Arial" w:ascii="ArialMT;Arial" w:hAnsi="ArialMT;Arial"/>
          <w:kern w:val="0"/>
          <w:sz w:val="28"/>
          <w:szCs w:val="28"/>
        </w:rPr>
        <w:t xml:space="preserve">Лимонно-хром-желтый </w:t>
      </w:r>
      <w:r>
        <w:rPr>
          <w:rFonts w:cs="ArialMT;Arial" w:ascii="ArialMT;Arial" w:hAnsi="ArialMT;Arial"/>
          <w:kern w:val="0"/>
          <w:sz w:val="28"/>
          <w:szCs w:val="28"/>
        </w:rPr>
        <w:t xml:space="preserve"> </w:t>
      </w:r>
    </w:p>
    <w:p>
      <w:pPr>
        <w:pStyle w:val="Normal"/>
        <w:autoSpaceDE w:val="false"/>
        <w:jc w:val="left"/>
        <w:rPr>
          <w:rFonts w:ascii="ArialMT;Arial" w:hAnsi="ArialMT;Arial" w:cs="ArialMT;Arial"/>
          <w:kern w:val="0"/>
          <w:szCs w:val="21"/>
        </w:rPr>
      </w:pPr>
      <w:r>
        <w:rPr>
          <w:rFonts w:cs="Arial-BoldMT;Arial" w:ascii="Arial-BoldMT;Arial" w:hAnsi="Arial-BoldMT;Arial"/>
          <w:b/>
          <w:bCs/>
          <w:kern w:val="0"/>
          <w:szCs w:val="21"/>
        </w:rPr>
        <w:t xml:space="preserve">Тип </w:t>
      </w:r>
      <w:r>
        <w:rPr>
          <w:rFonts w:cs="ArialMT;Arial" w:ascii="ArialMT;Arial" w:hAnsi="ArialMT;Arial"/>
          <w:kern w:val="0"/>
          <w:szCs w:val="21"/>
        </w:rPr>
        <w:t>Желтого пигмента</w:t>
      </w:r>
    </w:p>
    <w:p>
      <w:pPr>
        <w:pStyle w:val="Normal"/>
        <w:autoSpaceDE w:val="false"/>
        <w:jc w:val="left"/>
        <w:rPr>
          <w:rFonts w:ascii="ArialMT;Arial" w:hAnsi="ArialMT;Arial" w:cs="ArialMT;Arial"/>
          <w:kern w:val="0"/>
          <w:szCs w:val="21"/>
        </w:rPr>
      </w:pPr>
      <w:r>
        <w:rPr>
          <w:rFonts w:cs="Arial-BoldMT;Arial" w:ascii="Arial-BoldMT;Arial" w:hAnsi="Arial-BoldMT;Arial"/>
          <w:b/>
          <w:bCs/>
          <w:kern w:val="0"/>
          <w:szCs w:val="21"/>
        </w:rPr>
        <w:t xml:space="preserve">Форма выпуска </w:t>
      </w:r>
      <w:r>
        <w:rPr>
          <w:rFonts w:cs="ArialMT;Arial" w:ascii="ArialMT;Arial" w:hAnsi="ArialMT;Arial"/>
          <w:kern w:val="0"/>
          <w:szCs w:val="21"/>
        </w:rPr>
        <w:t>Порошок</w:t>
      </w:r>
    </w:p>
    <w:p>
      <w:pPr>
        <w:pStyle w:val="Normal"/>
        <w:autoSpaceDE w:val="false"/>
        <w:jc w:val="left"/>
        <w:rPr>
          <w:rFonts w:ascii="ArialMT;Arial" w:hAnsi="ArialMT;Arial" w:cs="ArialMT;Arial"/>
          <w:kern w:val="0"/>
          <w:sz w:val="14"/>
          <w:szCs w:val="14"/>
        </w:rPr>
      </w:pPr>
      <w:r>
        <w:rPr>
          <w:rFonts w:cs="Arial-BoldMT;Arial" w:ascii="Arial-BoldMT;Arial" w:hAnsi="Arial-BoldMT;Arial"/>
          <w:b/>
          <w:bCs/>
          <w:kern w:val="0"/>
          <w:szCs w:val="21"/>
        </w:rPr>
        <w:t xml:space="preserve">Химический класс </w:t>
      </w:r>
      <w:r>
        <w:rPr>
          <w:rFonts w:cs="ArialMT;Arial" w:ascii="ArialMT;Arial" w:hAnsi="ArialMT;Arial"/>
          <w:kern w:val="0"/>
          <w:szCs w:val="21"/>
        </w:rPr>
        <w:t xml:space="preserve">лимонно - желтый пигмент </w:t>
      </w:r>
      <w:r>
        <w:rPr>
          <w:rFonts w:cs="ArialMT;Arial" w:ascii="ArialMT;Arial" w:hAnsi="ArialMT;Arial"/>
          <w:kern w:val="0"/>
          <w:szCs w:val="21"/>
        </w:rPr>
        <w:t xml:space="preserve"> </w:t>
      </w:r>
      <w:r>
        <w:rPr>
          <w:rFonts w:cs="ArialMT;Arial" w:ascii="ArialMT;Arial" w:hAnsi="ArialMT;Arial"/>
          <w:kern w:val="0"/>
          <w:szCs w:val="21"/>
        </w:rPr>
        <w:t>2PbCrO</w:t>
      </w:r>
      <w:r>
        <w:rPr>
          <w:rFonts w:cs="ArialMT;Arial" w:ascii="ArialMT;Arial" w:hAnsi="ArialMT;Arial"/>
          <w:kern w:val="0"/>
          <w:sz w:val="14"/>
          <w:szCs w:val="14"/>
        </w:rPr>
        <w:t>4</w:t>
      </w:r>
      <w:r>
        <w:rPr>
          <w:rFonts w:cs="宋体" w:ascii="宋体" w:hAnsi="宋体"/>
          <w:kern w:val="0"/>
          <w:szCs w:val="21"/>
        </w:rPr>
        <w:t>·</w:t>
      </w:r>
      <w:r>
        <w:rPr>
          <w:rFonts w:cs="ArialMT;Arial" w:ascii="ArialMT;Arial" w:hAnsi="ArialMT;Arial"/>
          <w:kern w:val="0"/>
          <w:szCs w:val="21"/>
        </w:rPr>
        <w:t>PbSO</w:t>
      </w:r>
      <w:r>
        <w:rPr>
          <w:rFonts w:cs="ArialMT;Arial" w:ascii="ArialMT;Arial" w:hAnsi="ArialMT;Arial"/>
          <w:kern w:val="0"/>
          <w:sz w:val="14"/>
          <w:szCs w:val="14"/>
        </w:rPr>
        <w:t>4</w:t>
      </w:r>
    </w:p>
    <w:p>
      <w:pPr>
        <w:pStyle w:val="Normal"/>
        <w:autoSpaceDE w:val="false"/>
        <w:jc w:val="left"/>
        <w:rPr>
          <w:rFonts w:ascii="宋体" w:hAnsi="宋体" w:cs="宋体"/>
          <w:kern w:val="0"/>
          <w:szCs w:val="21"/>
        </w:rPr>
      </w:pPr>
      <w:r>
        <w:rPr>
          <w:rFonts w:cs="Arial-BoldMT;Arial" w:ascii="Arial-BoldMT;Arial" w:hAnsi="Arial-BoldMT;Arial"/>
          <w:b/>
          <w:bCs/>
          <w:kern w:val="0"/>
          <w:szCs w:val="21"/>
        </w:rPr>
        <w:t xml:space="preserve">Цветовой индекс </w:t>
      </w:r>
      <w:r>
        <w:rPr>
          <w:rFonts w:cs="ArialMT;Arial" w:ascii="ArialMT;Arial" w:hAnsi="ArialMT;Arial"/>
          <w:kern w:val="0"/>
          <w:szCs w:val="21"/>
        </w:rPr>
        <w:t>Пигмент желтый 34</w:t>
      </w:r>
      <w:r>
        <w:rPr>
          <w:rFonts w:ascii="宋体" w:hAnsi="宋体" w:cs="宋体"/>
          <w:kern w:val="0"/>
          <w:szCs w:val="21"/>
        </w:rPr>
        <w:t>(</w:t>
      </w:r>
      <w:r>
        <w:rPr>
          <w:rFonts w:cs="ArialMT;Arial" w:ascii="ArialMT;Arial" w:hAnsi="ArialMT;Arial"/>
          <w:kern w:val="0"/>
          <w:szCs w:val="21"/>
        </w:rPr>
        <w:t>77603</w:t>
      </w:r>
      <w:r>
        <w:rPr>
          <w:rFonts w:ascii="宋体" w:hAnsi="宋体" w:cs="宋体"/>
          <w:kern w:val="0"/>
          <w:szCs w:val="21"/>
        </w:rPr>
        <w:t>)</w:t>
      </w:r>
    </w:p>
    <w:p>
      <w:pPr>
        <w:pStyle w:val="Normal"/>
        <w:autoSpaceDE w:val="false"/>
        <w:jc w:val="left"/>
        <w:rPr>
          <w:rFonts w:ascii="ArialMT;Arial" w:hAnsi="ArialMT;Arial" w:cs="ArialMT;Arial"/>
          <w:kern w:val="0"/>
          <w:szCs w:val="21"/>
        </w:rPr>
      </w:pPr>
      <w:r>
        <w:rPr>
          <w:rFonts w:cs="Arial-BoldMT;Arial" w:ascii="Arial-BoldMT;Arial" w:hAnsi="Arial-BoldMT;Arial"/>
          <w:b/>
          <w:bCs/>
          <w:kern w:val="0"/>
          <w:szCs w:val="21"/>
        </w:rPr>
        <w:t>Номер CAS</w:t>
      </w:r>
      <w:r>
        <w:rPr>
          <w:rFonts w:ascii="宋体" w:hAnsi="宋体" w:cs="宋体"/>
          <w:kern w:val="0"/>
          <w:szCs w:val="21"/>
        </w:rPr>
        <w:t>．</w:t>
      </w:r>
      <w:r>
        <w:rPr>
          <w:rFonts w:cs="ArialMT;Arial" w:ascii="ArialMT;Arial" w:hAnsi="ArialMT;Arial"/>
          <w:kern w:val="0"/>
          <w:szCs w:val="21"/>
        </w:rPr>
        <w:t>13</w:t>
      </w:r>
      <w:r>
        <w:rPr>
          <w:rFonts w:cs="ArialMT;Arial" w:ascii="ArialMT;Arial" w:hAnsi="ArialMT;Arial"/>
          <w:kern w:val="0"/>
          <w:szCs w:val="21"/>
        </w:rPr>
        <w:t>44-37-2</w:t>
      </w:r>
    </w:p>
    <w:p>
      <w:pPr>
        <w:pStyle w:val="Normal"/>
        <w:autoSpaceDE w:val="false"/>
        <w:jc w:val="left"/>
        <w:rPr>
          <w:rFonts w:ascii="ArialMT;Arial" w:hAnsi="ArialMT;Arial" w:cs="ArialMT;Arial"/>
          <w:kern w:val="0"/>
          <w:szCs w:val="21"/>
        </w:rPr>
      </w:pPr>
      <w:r>
        <w:rPr>
          <w:rFonts w:cs="ArialMT;Arial" w:ascii="ArialMT;Arial" w:hAnsi="ArialMT;Arial"/>
          <w:kern w:val="0"/>
          <w:szCs w:val="21"/>
        </w:rPr>
      </w:r>
    </w:p>
    <w:p>
      <w:pPr>
        <w:pStyle w:val="Normal"/>
        <w:autoSpaceDE w:val="false"/>
        <w:jc w:val="left"/>
        <w:rPr>
          <w:rFonts w:ascii="ArialMT;Arial" w:hAnsi="ArialMT;Arial" w:cs="ArialMT;Arial"/>
          <w:kern w:val="0"/>
          <w:szCs w:val="21"/>
        </w:rPr>
      </w:pPr>
      <w:r>
        <w:rPr>
          <w:rFonts w:cs="Arial-BoldMT;Arial" w:ascii="Arial-BoldMT;Arial" w:hAnsi="Arial-BoldMT;Arial"/>
          <w:b/>
          <w:bCs/>
          <w:kern w:val="0"/>
          <w:szCs w:val="21"/>
        </w:rPr>
        <w:t xml:space="preserve">Рекомендации по использованию </w:t>
      </w:r>
      <w:r>
        <w:rPr>
          <w:rFonts w:cs="ArialMT;Arial" w:ascii="ArialMT;Arial" w:hAnsi="ArialMT;Arial"/>
          <w:kern w:val="0"/>
          <w:szCs w:val="21"/>
        </w:rPr>
        <w:t>Покрытие / Пластик / Бумага / Печать и т.д.</w:t>
      </w:r>
    </w:p>
    <w:p>
      <w:pPr>
        <w:pStyle w:val="Normal"/>
        <w:autoSpaceDE w:val="false"/>
        <w:jc w:val="left"/>
        <w:rPr>
          <w:rFonts w:ascii="ArialMT;Arial" w:hAnsi="ArialMT;Arial" w:cs="ArialMT;Arial"/>
          <w:kern w:val="0"/>
          <w:sz w:val="12"/>
          <w:szCs w:val="12"/>
        </w:rPr>
      </w:pPr>
      <w:r>
        <w:rPr>
          <w:rFonts w:cs="ArialMT;Arial" w:ascii="ArialMT;Arial" w:hAnsi="ArialMT;Arial"/>
          <w:kern w:val="0"/>
          <w:sz w:val="12"/>
          <w:szCs w:val="12"/>
        </w:rPr>
      </w:r>
    </w:p>
    <w:p>
      <w:pPr>
        <w:pStyle w:val="Normal"/>
        <w:autoSpaceDE w:val="false"/>
        <w:jc w:val="left"/>
        <w:rPr>
          <w:rFonts w:ascii="Arial-BoldMT;Arial" w:hAnsi="Arial-BoldMT;Arial" w:cs="Arial-BoldMT;Arial"/>
          <w:b/>
          <w:b/>
          <w:bCs/>
          <w:kern w:val="0"/>
          <w:szCs w:val="21"/>
        </w:rPr>
      </w:pPr>
      <w:r>
        <w:rPr>
          <w:rFonts w:cs="Arial-BoldMT;Arial" w:ascii="Arial-BoldMT;Arial" w:hAnsi="Arial-BoldMT;Arial"/>
          <w:b/>
          <w:bCs/>
          <w:kern w:val="0"/>
          <w:szCs w:val="21"/>
        </w:rPr>
        <w:t>ТЕХНИЧЕСКИЕ ДАННЫЕ</w:t>
      </w:r>
    </w:p>
    <w:p>
      <w:pPr>
        <w:pStyle w:val="Normal"/>
        <w:autoSpaceDE w:val="false"/>
        <w:jc w:val="left"/>
        <w:rPr>
          <w:rFonts w:ascii="Arial-BoldMT;Arial" w:hAnsi="Arial-BoldMT;Arial" w:cs="Arial-BoldMT;Arial"/>
          <w:b/>
          <w:b/>
          <w:bCs/>
          <w:kern w:val="0"/>
          <w:szCs w:val="21"/>
        </w:rPr>
      </w:pPr>
      <w:r>
        <w:rPr>
          <w:rFonts w:cs="Arial-BoldMT;Arial" w:ascii="Arial-BoldMT;Arial" w:hAnsi="Arial-BoldMT;Arial"/>
          <w:b/>
          <w:bCs/>
          <w:kern w:val="0"/>
          <w:szCs w:val="21"/>
        </w:rPr>
      </w:r>
    </w:p>
    <w:p>
      <w:pPr>
        <w:pStyle w:val="Normal"/>
        <w:autoSpaceDE w:val="false"/>
        <w:jc w:val="left"/>
        <w:rPr>
          <w:rFonts w:ascii="Arial-BoldMT;Arial" w:hAnsi="Arial-BoldMT;Arial" w:cs="Arial-BoldMT;Arial"/>
          <w:b/>
          <w:b/>
          <w:bCs/>
          <w:kern w:val="0"/>
          <w:szCs w:val="21"/>
        </w:rPr>
      </w:pPr>
      <w:r>
        <w:rPr>
          <w:rFonts w:cs="Arial-BoldMT;Arial" w:ascii="Arial-BoldMT;Arial" w:hAnsi="Arial-BoldMT;Arial"/>
          <w:b/>
          <w:bCs/>
          <w:kern w:val="0"/>
          <w:szCs w:val="21"/>
        </w:rPr>
        <w:t xml:space="preserve">Товар </w:t>
      </w:r>
      <w:r>
        <w:rPr>
          <w:rFonts w:cs="Arial-BoldMT;Arial" w:ascii="Arial-BoldMT;Arial" w:hAnsi="Arial-BoldMT;Arial"/>
          <w:b/>
          <w:bCs/>
          <w:kern w:val="0"/>
          <w:szCs w:val="21"/>
        </w:rPr>
        <w:t xml:space="preserve"> </w:t>
      </w:r>
      <w:r>
        <w:rPr>
          <w:rFonts w:cs="Arial-BoldMT;Arial" w:ascii="Arial-BoldMT;Arial" w:hAnsi="Arial-BoldMT;Arial"/>
          <w:b/>
          <w:bCs/>
          <w:kern w:val="0"/>
          <w:szCs w:val="21"/>
          <w:lang w:val="en-US" w:eastAsia="zh-CN"/>
        </w:rPr>
        <w:t xml:space="preserve"> </w:t>
      </w:r>
      <w:r>
        <w:rPr>
          <w:rFonts w:cs="Arial-BoldMT;Arial" w:ascii="Arial-BoldMT;Arial" w:hAnsi="Arial-BoldMT;Arial"/>
          <w:b/>
          <w:bCs/>
          <w:kern w:val="0"/>
          <w:szCs w:val="21"/>
        </w:rPr>
        <w:t xml:space="preserve">Стандартный </w:t>
      </w:r>
    </w:p>
    <w:p>
      <w:pPr>
        <w:pStyle w:val="Normal"/>
        <w:autoSpaceDE w:val="false"/>
        <w:jc w:val="left"/>
        <w:rPr>
          <w:rFonts w:ascii="ArialMT;Arial" w:hAnsi="ArialMT;Arial" w:cs="ArialMT;Arial"/>
          <w:kern w:val="0"/>
          <w:sz w:val="18"/>
          <w:szCs w:val="18"/>
        </w:rPr>
      </w:pPr>
      <w:r>
        <w:rPr>
          <w:rFonts w:cs="ArialMT;Arial" w:ascii="ArialMT;Arial" w:hAnsi="ArialMT;Arial"/>
          <w:kern w:val="0"/>
          <w:szCs w:val="21"/>
        </w:rPr>
        <w:t xml:space="preserve">Содержание водорастворимых веществ </w:t>
      </w:r>
      <w:r>
        <w:rPr>
          <w:rFonts w:cs="Arial-BoldMT;Arial" w:ascii="Arial-BoldMT;Arial" w:hAnsi="Arial-BoldMT;Arial"/>
          <w:b/>
          <w:bCs/>
          <w:kern w:val="0"/>
          <w:szCs w:val="21"/>
        </w:rPr>
        <w:t xml:space="preserve">[%] </w:t>
      </w:r>
      <w:r>
        <w:rPr>
          <w:rFonts w:cs="Arial-BoldMT;Arial" w:ascii="Arial-BoldMT;Arial" w:hAnsi="Arial-BoldMT;Arial"/>
          <w:b/>
          <w:bCs/>
          <w:kern w:val="0"/>
          <w:szCs w:val="21"/>
        </w:rPr>
        <w:t xml:space="preserve">не более </w:t>
      </w:r>
      <w:r>
        <w:rPr>
          <w:rFonts w:cs="ArialMT;Arial" w:ascii="ArialMT;Arial" w:hAnsi="ArialMT;Arial"/>
          <w:kern w:val="0"/>
          <w:szCs w:val="21"/>
        </w:rPr>
        <w:t xml:space="preserve">1,0 </w:t>
      </w:r>
    </w:p>
    <w:p>
      <w:pPr>
        <w:pStyle w:val="Normal"/>
        <w:autoSpaceDE w:val="false"/>
        <w:jc w:val="left"/>
        <w:rPr>
          <w:rFonts w:ascii="ArialMT;Arial" w:hAnsi="ArialMT;Arial" w:cs="ArialMT;Arial"/>
          <w:kern w:val="0"/>
          <w:sz w:val="18"/>
          <w:szCs w:val="18"/>
        </w:rPr>
      </w:pPr>
      <w:r>
        <w:rPr>
          <w:rFonts w:cs="ArialMT;Arial" w:ascii="ArialMT;Arial" w:hAnsi="ArialMT;Arial"/>
          <w:kern w:val="0"/>
          <w:szCs w:val="21"/>
        </w:rPr>
        <w:t>Осадок на сите</w:t>
      </w:r>
      <w:r>
        <w:rPr>
          <w:rFonts w:ascii="宋体" w:hAnsi="宋体" w:cs="宋体"/>
          <w:kern w:val="0"/>
          <w:szCs w:val="21"/>
        </w:rPr>
        <w:t>(</w:t>
      </w:r>
      <w:r>
        <w:rPr>
          <w:rFonts w:cs="Arial-BoldMT;Arial" w:ascii="Arial-BoldMT;Arial" w:hAnsi="Arial-BoldMT;Arial"/>
          <w:b/>
          <w:bCs/>
          <w:kern w:val="0"/>
          <w:szCs w:val="21"/>
        </w:rPr>
        <w:t>0,045мм</w:t>
      </w:r>
      <w:r>
        <w:rPr>
          <w:rFonts w:ascii="宋体" w:hAnsi="宋体" w:cs="宋体"/>
          <w:kern w:val="0"/>
          <w:szCs w:val="21"/>
        </w:rPr>
        <w:t>)</w:t>
      </w:r>
      <w:r>
        <w:rPr>
          <w:rFonts w:cs="Arial-BoldMT;Arial" w:ascii="Arial-BoldMT;Arial" w:hAnsi="Arial-BoldMT;Arial"/>
          <w:b/>
          <w:bCs/>
          <w:kern w:val="0"/>
          <w:szCs w:val="21"/>
        </w:rPr>
        <w:t xml:space="preserve">[%] </w:t>
      </w:r>
      <w:r>
        <w:rPr>
          <w:rFonts w:cs="Arial-BoldMT;Arial" w:ascii="Arial-BoldMT;Arial" w:hAnsi="Arial-BoldMT;Arial"/>
          <w:b/>
          <w:bCs/>
          <w:kern w:val="0"/>
          <w:szCs w:val="21"/>
        </w:rPr>
        <w:t xml:space="preserve"> не более </w:t>
      </w:r>
      <w:r>
        <w:rPr>
          <w:rFonts w:cs="ArialMT;Arial" w:ascii="ArialMT;Arial" w:hAnsi="ArialMT;Arial"/>
          <w:kern w:val="0"/>
          <w:szCs w:val="21"/>
        </w:rPr>
        <w:t>0,5</w:t>
      </w:r>
      <w:r>
        <w:rPr>
          <w:rFonts w:cs="ArialMT;Arial" w:ascii="ArialMT;Arial" w:hAnsi="ArialMT;Arial"/>
          <w:kern w:val="0"/>
          <w:szCs w:val="21"/>
        </w:rPr>
        <w:t xml:space="preserve"> </w:t>
      </w:r>
    </w:p>
    <w:p>
      <w:pPr>
        <w:pStyle w:val="Normal"/>
        <w:autoSpaceDE w:val="false"/>
        <w:jc w:val="left"/>
        <w:rPr>
          <w:rFonts w:ascii="ArialMT;Arial" w:hAnsi="ArialMT;Arial" w:cs="ArialMT;Arial"/>
          <w:kern w:val="0"/>
          <w:sz w:val="18"/>
          <w:szCs w:val="18"/>
        </w:rPr>
      </w:pPr>
      <w:r>
        <w:rPr>
          <w:rFonts w:cs="ArialMT;Arial" w:ascii="ArialMT;Arial" w:hAnsi="ArialMT;Arial"/>
          <w:kern w:val="0"/>
          <w:szCs w:val="21"/>
        </w:rPr>
        <w:t xml:space="preserve">Значение PH </w:t>
      </w:r>
      <w:r>
        <w:rPr>
          <w:rFonts w:cs="ArialMT;Arial" w:ascii="ArialMT;Arial" w:hAnsi="ArialMT;Arial"/>
          <w:kern w:val="0"/>
          <w:szCs w:val="21"/>
        </w:rPr>
        <w:t xml:space="preserve"> </w:t>
      </w:r>
      <w:r>
        <w:rPr>
          <w:rFonts w:cs="ArialMT;Arial" w:ascii="ArialMT;Arial" w:hAnsi="ArialMT;Arial"/>
          <w:kern w:val="0"/>
          <w:szCs w:val="21"/>
        </w:rPr>
        <w:t>4,0</w:t>
      </w:r>
      <w:r>
        <w:rPr>
          <w:rFonts w:cs="ArialMT;Arial" w:ascii="ArialMT;Arial" w:hAnsi="ArialMT;Arial"/>
          <w:kern w:val="0"/>
          <w:szCs w:val="21"/>
        </w:rPr>
        <w:t>-</w:t>
      </w:r>
      <w:r>
        <w:rPr>
          <w:rFonts w:cs="ArialMT;Arial" w:ascii="ArialMT;Arial" w:hAnsi="ArialMT;Arial"/>
          <w:kern w:val="0"/>
          <w:szCs w:val="21"/>
        </w:rPr>
        <w:t>8,0</w:t>
      </w:r>
    </w:p>
    <w:p>
      <w:pPr>
        <w:pStyle w:val="Normal"/>
        <w:autoSpaceDE w:val="false"/>
        <w:jc w:val="left"/>
        <w:rPr>
          <w:rFonts w:ascii="ArialMT;Arial" w:hAnsi="ArialMT;Arial" w:cs="ArialMT;Arial"/>
          <w:kern w:val="0"/>
          <w:szCs w:val="21"/>
        </w:rPr>
      </w:pPr>
      <w:r>
        <w:rPr>
          <w:rFonts w:cs="ArialMT;Arial" w:ascii="ArialMT;Arial" w:hAnsi="ArialMT;Arial"/>
          <w:kern w:val="0"/>
          <w:szCs w:val="21"/>
        </w:rPr>
        <w:t>PbCrO</w:t>
      </w:r>
      <w:r>
        <w:rPr>
          <w:rFonts w:cs="ArialMT;Arial" w:ascii="ArialMT;Arial" w:hAnsi="ArialMT;Arial"/>
          <w:kern w:val="0"/>
          <w:sz w:val="14"/>
          <w:szCs w:val="14"/>
        </w:rPr>
        <w:t xml:space="preserve">4 </w:t>
      </w:r>
      <w:r>
        <w:rPr>
          <w:rFonts w:cs="Arial-BoldMT;Arial" w:ascii="Arial-BoldMT;Arial" w:hAnsi="Arial-BoldMT;Arial"/>
          <w:b/>
          <w:bCs/>
          <w:kern w:val="0"/>
          <w:szCs w:val="21"/>
        </w:rPr>
        <w:t xml:space="preserve">[%] </w:t>
      </w:r>
      <w:r>
        <w:rPr>
          <w:rFonts w:cs="Arial-BoldMT;Arial" w:ascii="Arial-BoldMT;Arial" w:hAnsi="Arial-BoldMT;Arial"/>
          <w:b/>
          <w:bCs/>
          <w:kern w:val="0"/>
          <w:szCs w:val="21"/>
        </w:rPr>
        <w:t xml:space="preserve"> мин </w:t>
      </w:r>
      <w:r>
        <w:rPr>
          <w:rFonts w:cs="ArialMT;Arial" w:ascii="ArialMT;Arial" w:hAnsi="ArialMT;Arial"/>
          <w:kern w:val="0"/>
          <w:szCs w:val="21"/>
        </w:rPr>
        <w:t>50,0</w:t>
      </w:r>
    </w:p>
    <w:p>
      <w:pPr>
        <w:pStyle w:val="Normal"/>
        <w:autoSpaceDE w:val="false"/>
        <w:jc w:val="left"/>
        <w:rPr>
          <w:rFonts w:ascii="ArialMT;Arial" w:hAnsi="ArialMT;Arial" w:cs="ArialMT;Arial"/>
          <w:kern w:val="0"/>
          <w:sz w:val="18"/>
          <w:szCs w:val="18"/>
        </w:rPr>
      </w:pPr>
      <w:r>
        <w:rPr>
          <w:rFonts w:cs="ArialMT;Arial" w:ascii="ArialMT;Arial" w:hAnsi="ArialMT;Arial"/>
          <w:kern w:val="0"/>
          <w:szCs w:val="21"/>
        </w:rPr>
        <w:t xml:space="preserve">Влажность (после производства) </w:t>
      </w:r>
      <w:r>
        <w:rPr>
          <w:rFonts w:cs="Arial-BoldMT;Arial" w:ascii="Arial-BoldMT;Arial" w:hAnsi="Arial-BoldMT;Arial"/>
          <w:b/>
          <w:bCs/>
          <w:kern w:val="0"/>
          <w:szCs w:val="21"/>
        </w:rPr>
        <w:t xml:space="preserve">[%] </w:t>
      </w:r>
      <w:r>
        <w:rPr>
          <w:rFonts w:cs="Arial-BoldMT;Arial" w:ascii="Arial-BoldMT;Arial" w:hAnsi="Arial-BoldMT;Arial"/>
          <w:b/>
          <w:bCs/>
          <w:kern w:val="0"/>
          <w:szCs w:val="21"/>
        </w:rPr>
        <w:t xml:space="preserve"> не более </w:t>
      </w:r>
      <w:r>
        <w:rPr>
          <w:rFonts w:cs="ArialMT;Arial" w:ascii="ArialMT;Arial" w:hAnsi="ArialMT;Arial"/>
          <w:kern w:val="0"/>
          <w:szCs w:val="21"/>
        </w:rPr>
        <w:t>3,0</w:t>
      </w:r>
    </w:p>
    <w:p>
      <w:pPr>
        <w:pStyle w:val="Normal"/>
        <w:autoSpaceDE w:val="false"/>
        <w:jc w:val="left"/>
        <w:rPr>
          <w:rFonts w:ascii="ArialMT;Arial" w:hAnsi="ArialMT;Arial" w:cs="ArialMT;Arial"/>
          <w:kern w:val="0"/>
          <w:szCs w:val="21"/>
        </w:rPr>
      </w:pPr>
      <w:r>
        <w:rPr>
          <w:rFonts w:cs="ArialMT;Arial" w:ascii="ArialMT;Arial" w:hAnsi="ArialMT;Arial"/>
          <w:kern w:val="0"/>
          <w:szCs w:val="21"/>
        </w:rPr>
        <w:t xml:space="preserve">Поглощение масла </w:t>
      </w:r>
      <w:r>
        <w:rPr>
          <w:rFonts w:cs="Arial-BoldMT;Arial" w:ascii="Arial-BoldMT;Arial" w:hAnsi="Arial-BoldMT;Arial"/>
          <w:b/>
          <w:bCs/>
          <w:kern w:val="0"/>
          <w:szCs w:val="21"/>
        </w:rPr>
        <w:t xml:space="preserve">[г/100 г] </w:t>
      </w:r>
      <w:r>
        <w:rPr>
          <w:rFonts w:cs="Arial-BoldMT;Arial" w:ascii="Arial-BoldMT;Arial" w:hAnsi="Arial-BoldMT;Arial"/>
          <w:b/>
          <w:bCs/>
          <w:kern w:val="0"/>
          <w:szCs w:val="21"/>
        </w:rPr>
        <w:t xml:space="preserve"> не более </w:t>
      </w:r>
      <w:r>
        <w:rPr>
          <w:rFonts w:cs="ArialMT;Arial" w:ascii="ArialMT;Arial" w:hAnsi="ArialMT;Arial"/>
          <w:kern w:val="0"/>
          <w:szCs w:val="21"/>
        </w:rPr>
        <w:t>25</w:t>
      </w:r>
    </w:p>
    <w:p>
      <w:pPr>
        <w:pStyle w:val="Normal"/>
        <w:autoSpaceDE w:val="false"/>
        <w:jc w:val="left"/>
        <w:rPr>
          <w:rFonts w:ascii="ArialMT;Arial" w:hAnsi="ArialMT;Arial" w:eastAsia="宋体" w:cs="ArialMT;Arial"/>
          <w:kern w:val="0"/>
          <w:szCs w:val="21"/>
          <w:lang w:val="en-US" w:eastAsia="zh-CN"/>
        </w:rPr>
      </w:pPr>
      <w:r>
        <w:rPr>
          <w:rFonts w:cs="ArialMT;Arial" w:ascii="ArialMT;Arial" w:hAnsi="ArialMT;Arial"/>
          <w:kern w:val="0"/>
          <w:szCs w:val="21"/>
          <w:lang w:val="en-US" w:eastAsia="zh-CN"/>
        </w:rPr>
        <w:t>Светостойкость 5-6</w:t>
      </w:r>
    </w:p>
    <w:p>
      <w:pPr>
        <w:pStyle w:val="Normal"/>
        <w:autoSpaceDE w:val="false"/>
        <w:jc w:val="left"/>
        <w:rPr>
          <w:rFonts w:ascii="ArialMT;Arial" w:hAnsi="ArialMT;Arial" w:eastAsia="宋体" w:cs="ArialMT;Arial"/>
          <w:kern w:val="0"/>
          <w:sz w:val="18"/>
          <w:szCs w:val="18"/>
          <w:lang w:val="en-US" w:eastAsia="zh-CN"/>
        </w:rPr>
      </w:pPr>
      <w:r>
        <w:rPr>
          <w:rFonts w:eastAsia="宋体" w:cs="ArialMT;Arial" w:ascii="ArialMT;Arial" w:hAnsi="ArialMT;Arial"/>
          <w:kern w:val="0"/>
          <w:sz w:val="18"/>
          <w:szCs w:val="18"/>
          <w:lang w:val="en-US" w:eastAsia="zh-CN"/>
        </w:rPr>
      </w:r>
    </w:p>
    <w:p>
      <w:pPr>
        <w:pStyle w:val="Normal"/>
        <w:autoSpaceDE w:val="false"/>
        <w:jc w:val="left"/>
        <w:rPr>
          <w:rFonts w:ascii="ArialMT;Arial" w:hAnsi="ArialMT;Arial" w:cs="ArialMT;Arial"/>
          <w:kern w:val="0"/>
          <w:szCs w:val="21"/>
        </w:rPr>
      </w:pPr>
      <w:r>
        <w:rPr>
          <w:rFonts w:cs="Arial-BoldMT;Arial" w:ascii="Arial-BoldMT;Arial" w:hAnsi="Arial-BoldMT;Arial"/>
          <w:b/>
          <w:bCs/>
          <w:kern w:val="0"/>
          <w:szCs w:val="21"/>
        </w:rPr>
        <w:t xml:space="preserve">СТАНДАРТНАЯ УПАКОВКА </w:t>
      </w:r>
      <w:r>
        <w:rPr>
          <w:rFonts w:cs="ArialMT;Arial" w:ascii="ArialMT;Arial" w:hAnsi="ArialMT;Arial"/>
          <w:kern w:val="0"/>
          <w:szCs w:val="21"/>
        </w:rPr>
        <w:t>25 кг / мешок</w:t>
      </w:r>
    </w:p>
    <w:p>
      <w:pPr>
        <w:pStyle w:val="Normal"/>
        <w:autoSpaceDE w:val="false"/>
        <w:jc w:val="left"/>
        <w:rPr>
          <w:rFonts w:ascii="ArialMT;Arial" w:hAnsi="ArialMT;Arial" w:cs="ArialMT;Arial"/>
          <w:kern w:val="0"/>
          <w:szCs w:val="21"/>
        </w:rPr>
      </w:pPr>
      <w:r>
        <w:rPr>
          <w:rFonts w:cs="ArialMT;Arial" w:ascii="ArialMT;Arial" w:hAnsi="ArialMT;Arial"/>
          <w:kern w:val="0"/>
          <w:szCs w:val="21"/>
        </w:rPr>
      </w:r>
    </w:p>
    <w:p>
      <w:pPr>
        <w:pStyle w:val="Normal"/>
        <w:autoSpaceDE w:val="false"/>
        <w:jc w:val="left"/>
        <w:rPr>
          <w:rFonts w:ascii="Arial-BoldMT;Arial" w:hAnsi="Arial-BoldMT;Arial" w:cs="Arial-BoldMT;Arial"/>
          <w:b/>
          <w:b/>
          <w:bCs/>
          <w:color w:val="000000"/>
          <w:kern w:val="0"/>
          <w:szCs w:val="21"/>
        </w:rPr>
      </w:pPr>
      <w:r>
        <w:rPr>
          <w:rFonts w:cs="Arial-BoldMT;Arial" w:ascii="Arial-BoldMT;Arial" w:hAnsi="Arial-BoldMT;Arial"/>
          <w:b/>
          <w:bCs/>
          <w:color w:val="000000"/>
          <w:kern w:val="0"/>
          <w:szCs w:val="21"/>
        </w:rPr>
        <w:t>ТРАНСПОРТИРОВКА И ХРАНЕНИЕ</w:t>
      </w:r>
    </w:p>
    <w:p>
      <w:pPr>
        <w:pStyle w:val="Normal"/>
        <w:autoSpaceDE w:val="false"/>
        <w:jc w:val="left"/>
        <w:rPr>
          <w:rFonts w:ascii="ArialMT;Arial" w:hAnsi="ArialMT;Arial" w:cs="ArialMT;Arial"/>
          <w:color w:val="000000"/>
          <w:kern w:val="0"/>
          <w:szCs w:val="21"/>
        </w:rPr>
      </w:pPr>
      <w:r>
        <w:rPr>
          <w:rFonts w:cs="ArialMT;Arial" w:ascii="ArialMT;Arial" w:hAnsi="ArialMT;Arial"/>
          <w:color w:val="000000"/>
          <w:kern w:val="0"/>
          <w:szCs w:val="21"/>
        </w:rPr>
        <w:t>Защищать от атмосферных воздействий. Хранить в сухом месте и избегать резких колебаний температуры</w:t>
      </w:r>
    </w:p>
    <w:p>
      <w:pPr>
        <w:pStyle w:val="Normal"/>
        <w:autoSpaceDE w:val="false"/>
        <w:jc w:val="left"/>
        <w:rPr>
          <w:rFonts w:ascii="ArialMT;Arial" w:hAnsi="ArialMT;Arial" w:cs="ArialMT;Arial"/>
          <w:color w:val="000000"/>
          <w:kern w:val="0"/>
          <w:szCs w:val="21"/>
        </w:rPr>
      </w:pPr>
      <w:r>
        <w:rPr>
          <w:rFonts w:cs="ArialMT;Arial" w:ascii="ArialMT;Arial" w:hAnsi="ArialMT;Arial"/>
          <w:color w:val="000000"/>
          <w:kern w:val="0"/>
          <w:szCs w:val="21"/>
        </w:rPr>
        <w:t>температура. Особые условия для вскрытой упаковки: Закрывайте пакеты после использования, чтобы предотвратить</w:t>
      </w:r>
    </w:p>
    <w:p>
      <w:pPr>
        <w:pStyle w:val="Normal"/>
        <w:autoSpaceDE w:val="false"/>
        <w:jc w:val="left"/>
        <w:rPr>
          <w:rFonts w:ascii="ArialMT;Arial" w:hAnsi="ArialMT;Arial" w:cs="ArialMT;Arial"/>
          <w:color w:val="000000"/>
          <w:kern w:val="0"/>
          <w:szCs w:val="21"/>
        </w:rPr>
      </w:pPr>
      <w:r>
        <w:rPr>
          <w:rFonts w:cs="ArialMT;Arial" w:ascii="ArialMT;Arial" w:hAnsi="ArialMT;Arial"/>
          <w:color w:val="000000"/>
          <w:kern w:val="0"/>
          <w:szCs w:val="21"/>
        </w:rPr>
        <w:t>поглощение влаги и загрязнений.</w:t>
      </w:r>
    </w:p>
    <w:p>
      <w:pPr>
        <w:pStyle w:val="Normal"/>
        <w:autoSpaceDE w:val="false"/>
        <w:jc w:val="left"/>
        <w:rPr>
          <w:rFonts w:ascii="ArialMT;Arial" w:hAnsi="ArialMT;Arial" w:cs="ArialMT;Arial"/>
          <w:color w:val="000000"/>
          <w:kern w:val="0"/>
          <w:szCs w:val="21"/>
        </w:rPr>
      </w:pPr>
      <w:r>
        <w:rPr>
          <w:rFonts w:cs="ArialMT;Arial" w:ascii="ArialMT;Arial" w:hAnsi="ArialMT;Arial"/>
          <w:color w:val="000000"/>
          <w:kern w:val="0"/>
          <w:szCs w:val="21"/>
        </w:rPr>
      </w:r>
    </w:p>
    <w:p>
      <w:pPr>
        <w:pStyle w:val="Normal"/>
        <w:autoSpaceDE w:val="false"/>
        <w:jc w:val="left"/>
        <w:rPr>
          <w:rFonts w:ascii="Arial-BoldMT;Arial" w:hAnsi="Arial-BoldMT;Arial" w:cs="Arial-BoldMT;Arial"/>
          <w:b/>
          <w:b/>
          <w:bCs/>
          <w:color w:val="000000"/>
          <w:kern w:val="0"/>
          <w:szCs w:val="21"/>
        </w:rPr>
      </w:pPr>
      <w:r>
        <w:rPr>
          <w:rFonts w:cs="Arial-BoldMT;Arial" w:ascii="Arial-BoldMT;Arial" w:hAnsi="Arial-BoldMT;Arial"/>
          <w:b/>
          <w:bCs/>
          <w:color w:val="000000"/>
          <w:kern w:val="0"/>
          <w:szCs w:val="21"/>
        </w:rPr>
        <w:t>БЕЗОПАСНОСТЬ</w:t>
      </w:r>
    </w:p>
    <w:p>
      <w:pPr>
        <w:pStyle w:val="Normal"/>
        <w:autoSpaceDE w:val="false"/>
        <w:jc w:val="left"/>
        <w:rPr>
          <w:rFonts w:ascii="ArialMT;Arial" w:hAnsi="ArialMT;Arial" w:cs="ArialMT;Arial"/>
          <w:color w:val="000000"/>
          <w:kern w:val="0"/>
          <w:szCs w:val="21"/>
        </w:rPr>
      </w:pPr>
      <w:r>
        <w:rPr>
          <w:rFonts w:cs="ArialMT;Arial" w:ascii="ArialMT;Arial" w:hAnsi="ArialMT;Arial"/>
          <w:color w:val="000000"/>
          <w:kern w:val="0"/>
          <w:szCs w:val="21"/>
        </w:rPr>
        <w:t>Продукт не классифицируется как опасный в соответствии с соответствующими директивами ЕС и</w:t>
      </w:r>
    </w:p>
    <w:p>
      <w:pPr>
        <w:pStyle w:val="Normal"/>
        <w:autoSpaceDE w:val="false"/>
        <w:jc w:val="left"/>
        <w:rPr>
          <w:rFonts w:ascii="ArialMT;Arial" w:hAnsi="ArialMT;Arial" w:cs="ArialMT;Arial"/>
          <w:color w:val="000000"/>
          <w:kern w:val="0"/>
          <w:szCs w:val="21"/>
        </w:rPr>
      </w:pPr>
      <w:r>
        <w:rPr>
          <w:rFonts w:cs="ArialMT;Arial" w:ascii="ArialMT;Arial" w:hAnsi="ArialMT;Arial"/>
          <w:color w:val="000000"/>
          <w:kern w:val="0"/>
          <w:szCs w:val="21"/>
        </w:rPr>
        <w:t>соответствующие национальные нормативные акты, действующие в отдельных государствах-членах ЕС. Это не</w:t>
      </w:r>
    </w:p>
    <w:p>
      <w:pPr>
        <w:pStyle w:val="Normal"/>
        <w:autoSpaceDE w:val="false"/>
        <w:jc w:val="left"/>
        <w:rPr>
          <w:rFonts w:ascii="ArialMT;Arial" w:hAnsi="ArialMT;Arial" w:cs="ArialMT;Arial"/>
          <w:color w:val="000000"/>
          <w:kern w:val="0"/>
          <w:szCs w:val="21"/>
        </w:rPr>
      </w:pPr>
      <w:r>
        <w:rPr>
          <w:rFonts w:cs="ArialMT;Arial" w:ascii="ArialMT;Arial" w:hAnsi="ArialMT;Arial"/>
          <w:color w:val="000000"/>
          <w:kern w:val="0"/>
          <w:szCs w:val="21"/>
        </w:rPr>
        <w:t>опасен в соответствии с правилами перевозки. В странах за пределами ЕС соблюдение</w:t>
      </w:r>
    </w:p>
    <w:p>
      <w:pPr>
        <w:pStyle w:val="Normal"/>
        <w:autoSpaceDE w:val="false"/>
        <w:jc w:val="left"/>
        <w:rPr>
          <w:rFonts w:ascii="Arial-BoldMT;Arial" w:hAnsi="Arial-BoldMT;Arial" w:cs="Arial-BoldMT;Arial"/>
          <w:color w:val="000000"/>
          <w:kern w:val="0"/>
          <w:sz w:val="20"/>
          <w:szCs w:val="20"/>
        </w:rPr>
      </w:pPr>
      <w:r>
        <w:rPr>
          <w:rFonts w:cs="ArialMT;Arial" w:ascii="ArialMT;Arial" w:hAnsi="ArialMT;Arial"/>
          <w:color w:val="000000"/>
          <w:kern w:val="0"/>
          <w:szCs w:val="21"/>
        </w:rPr>
        <w:t>в соответствии с соответствующим национальным законодательством, касающимся классификации, упаковки,</w:t>
      </w:r>
    </w:p>
    <w:p>
      <w:pPr>
        <w:pStyle w:val="Normal"/>
        <w:autoSpaceDE w:val="false"/>
        <w:jc w:val="left"/>
        <w:rPr>
          <w:rFonts w:ascii="Arial-BoldMT;Arial" w:hAnsi="Arial-BoldMT;Arial" w:cs="Arial-BoldMT;Arial"/>
          <w:color w:val="000000"/>
          <w:kern w:val="0"/>
          <w:sz w:val="20"/>
          <w:szCs w:val="20"/>
        </w:rPr>
      </w:pPr>
      <w:r>
        <w:rPr>
          <w:rFonts w:cs="Arial-BoldMT;Arial" w:ascii="Arial-BoldMT;Arial" w:hAnsi="Arial-BoldMT;Arial"/>
          <w:color w:val="000000"/>
          <w:kern w:val="0"/>
          <w:sz w:val="20"/>
          <w:szCs w:val="20"/>
        </w:rPr>
      </w:r>
    </w:p>
    <w:p>
      <w:pPr>
        <w:pStyle w:val="Normal"/>
        <w:autoSpaceDE w:val="false"/>
        <w:jc w:val="left"/>
        <w:rPr>
          <w:rFonts w:ascii="Arial-BoldMT;Arial" w:hAnsi="Arial-BoldMT;Arial" w:cs="Arial-BoldMT;Arial"/>
          <w:b/>
          <w:b/>
          <w:bCs/>
          <w:color w:val="000000"/>
          <w:kern w:val="0"/>
          <w:szCs w:val="21"/>
        </w:rPr>
      </w:pPr>
      <w:r>
        <w:rPr>
          <w:rFonts w:cs="Arial-BoldMT;Arial" w:ascii="Arial-BoldMT;Arial" w:hAnsi="Arial-BoldMT;Arial"/>
          <w:b/>
          <w:bCs/>
          <w:color w:val="000000"/>
          <w:kern w:val="0"/>
          <w:szCs w:val="21"/>
        </w:rPr>
        <w:t>ЗАМЕЧАНИЕ</w:t>
      </w:r>
    </w:p>
    <w:p>
      <w:pPr>
        <w:pStyle w:val="Normal"/>
        <w:autoSpaceDE w:val="false"/>
        <w:jc w:val="left"/>
        <w:rPr>
          <w:rFonts w:ascii="ArialMT;Arial" w:hAnsi="ArialMT;Arial" w:cs="ArialMT;Arial"/>
          <w:kern w:val="0"/>
          <w:szCs w:val="21"/>
        </w:rPr>
      </w:pPr>
      <w:r>
        <w:rPr>
          <w:rFonts w:cs="ArialMT;Arial" w:ascii="ArialMT;Arial" w:hAnsi="ArialMT;Arial"/>
          <w:kern w:val="0"/>
          <w:szCs w:val="21"/>
        </w:rPr>
        <w:t>Эта информация предоставлена добросовестно, без каких-либо гарантий. Это также применимо, когда речь идет о</w:t>
      </w:r>
      <w:r>
        <w:rPr>
          <w:rFonts w:cs="ArialMT;Arial" w:ascii="ArialMT;Arial" w:hAnsi="ArialMT;Arial"/>
          <w:kern w:val="0"/>
          <w:szCs w:val="21"/>
        </w:rPr>
        <w:t xml:space="preserve"> </w:t>
      </w:r>
      <w:r>
        <w:rPr>
          <w:rFonts w:cs="ArialMT;Arial" w:ascii="ArialMT;Arial" w:hAnsi="ArialMT;Arial"/>
          <w:kern w:val="0"/>
          <w:szCs w:val="21"/>
        </w:rPr>
        <w:t>правах собственности третьих сторон. Наш совет не освобождает вас от обязанности</w:t>
      </w:r>
      <w:r>
        <w:rPr>
          <w:rFonts w:cs="ArialMT;Arial" w:ascii="ArialMT;Arial" w:hAnsi="ArialMT;Arial"/>
          <w:kern w:val="0"/>
          <w:szCs w:val="21"/>
        </w:rPr>
        <w:t xml:space="preserve"> </w:t>
      </w:r>
      <w:r>
        <w:rPr>
          <w:rFonts w:cs="ArialMT;Arial" w:ascii="ArialMT;Arial" w:hAnsi="ArialMT;Arial"/>
          <w:kern w:val="0"/>
          <w:szCs w:val="21"/>
        </w:rPr>
        <w:t>проверять предоставленную в настоящее время информацию и тестировать наши продукты на предмет их пригодности для предполагаемых</w:t>
      </w:r>
      <w:r>
        <w:rPr>
          <w:rFonts w:cs="ArialMT;Arial" w:ascii="ArialMT;Arial" w:hAnsi="ArialMT;Arial"/>
          <w:kern w:val="0"/>
          <w:szCs w:val="21"/>
        </w:rPr>
        <w:t xml:space="preserve"> </w:t>
      </w:r>
      <w:r>
        <w:rPr>
          <w:rFonts w:cs="ArialMT;Arial" w:ascii="ArialMT;Arial" w:hAnsi="ArialMT;Arial"/>
          <w:kern w:val="0"/>
          <w:szCs w:val="21"/>
        </w:rPr>
        <w:t>процессов и видов использования. Применение, польза и переработка нашей продукции и продуктов,</w:t>
      </w:r>
      <w:r>
        <w:rPr>
          <w:rFonts w:cs="ArialMT;Arial" w:ascii="ArialMT;Arial" w:hAnsi="ArialMT;Arial"/>
          <w:kern w:val="0"/>
          <w:szCs w:val="21"/>
        </w:rPr>
        <w:t xml:space="preserve"> </w:t>
      </w:r>
      <w:r>
        <w:rPr>
          <w:rFonts w:cs="ArialMT;Arial" w:ascii="ArialMT;Arial" w:hAnsi="ArialMT;Arial"/>
          <w:kern w:val="0"/>
          <w:szCs w:val="21"/>
        </w:rPr>
        <w:t>произведенных вами на основе наших технических рекомендаций, находятся вне нашего контроля и, следовательно, </w:t>
      </w:r>
      <w:r>
        <w:rPr>
          <w:rFonts w:cs="ArialMT;Arial" w:ascii="ArialMT;Arial" w:hAnsi="ArialMT;Arial"/>
          <w:kern w:val="0"/>
          <w:szCs w:val="21"/>
        </w:rPr>
        <w:t xml:space="preserve"> </w:t>
      </w:r>
      <w:r>
        <w:rPr>
          <w:rFonts w:cs="ArialMT;Arial" w:ascii="ArialMT;Arial" w:hAnsi="ArialMT;Arial"/>
          <w:kern w:val="0"/>
          <w:szCs w:val="21"/>
        </w:rPr>
        <w:t>полностью на вашей ответственности. Наши продукты продаются в соответствии с действующей версией наших</w:t>
      </w:r>
      <w:r>
        <w:rPr>
          <w:rFonts w:cs="ArialMT;Arial" w:ascii="ArialMT;Arial" w:hAnsi="ArialMT;Arial"/>
          <w:kern w:val="0"/>
          <w:szCs w:val="21"/>
        </w:rPr>
        <w:t xml:space="preserve"> </w:t>
      </w:r>
      <w:r>
        <w:rPr>
          <w:rFonts w:cs="ArialMT;Arial" w:ascii="ArialMT;Arial" w:hAnsi="ArialMT;Arial"/>
          <w:kern w:val="0"/>
          <w:szCs w:val="21"/>
        </w:rPr>
        <w:t>Общих условий продажи и доставки.</w:t>
      </w:r>
    </w:p>
    <w:sectPr>
      <w:type w:val="nextPage"/>
      <w:pgSz w:w="11906" w:h="16838"/>
      <w:pgMar w:left="851" w:right="707" w:header="0" w:top="1091" w:footer="0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roman"/>
    <w:pitch w:val="default"/>
  </w:font>
  <w:font w:name="Liberation Sans">
    <w:altName w:val="Arial"/>
    <w:charset w:val="00"/>
    <w:family w:val="swiss"/>
    <w:pitch w:val="variable"/>
  </w:font>
  <w:font w:name="Arial-BoldMT">
    <w:altName w:val="Arial"/>
    <w:charset w:val="00"/>
    <w:family w:val="swiss"/>
    <w:pitch w:val="default"/>
  </w:font>
  <w:font w:name="ArialMT">
    <w:altName w:val="Arial"/>
    <w:charset w:val="00"/>
    <w:family w:val="swiss"/>
    <w:pitch w:val="default"/>
  </w:font>
  <w:font w:name="宋体">
    <w:charset w:val="86"/>
    <w:family w:val="auto"/>
    <w:pitch w:val="default"/>
  </w:font>
</w:fonts>
</file>

<file path=word/settings.xml><?xml version="1.0" encoding="utf-8"?>
<w:settings xmlns:w="http://schemas.openxmlformats.org/wordprocessingml/2006/main">
  <w:zoom w:percent="81"/>
  <w:defaultTabStop w:val="420"/>
  <w:compat>
    <w:doNotExpandShiftReturn/>
  </w:compat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 PL UMing CN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character" w:styleId="Char">
    <w:name w:val="页脚 Char"/>
    <w:qFormat/>
    <w:rPr>
      <w:kern w:val="2"/>
      <w:sz w:val="18"/>
      <w:szCs w:val="18"/>
    </w:rPr>
  </w:style>
  <w:style w:type="character" w:styleId="Char1">
    <w:name w:val="页眉 Char"/>
    <w:qFormat/>
    <w:rPr>
      <w:kern w:val="2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AR PL UMing CN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LibreOffice/6.4.7.2$Linux_X86_64 LibreOffice_project/40$Build-2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2009-05-21T03:35:00Z</dcterms:created>
  <dc:creator>Yandex.Translate</dc:creator>
  <dc:description>Translated with Yandex.Translate</dc:description>
  <dc:language>en-US</dc:language>
  <cp:lastModifiedBy>grace</cp:lastModifiedBy>
  <dcterms:modified xsi:type="dcterms:W3CDTF">2022-08-17T09:48:58Z</dcterms:modified>
  <cp:revision>13</cp:revision>
  <dc:subject/>
  <dc:title>TECHNICAL DATA SHEET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9B91EE91EE91476A87037A767B106285</vt:lpwstr>
  </property>
  <property fmtid="{D5CDD505-2E9C-101B-9397-08002B2CF9AE}" pid="3" name="KSOProductBuildVer">
    <vt:lpwstr>2052-11.1.0.12302</vt:lpwstr>
  </property>
  <property fmtid="{D5CDD505-2E9C-101B-9397-08002B2CF9AE}" pid="4" name="commondata">
    <vt:lpwstr>commondata</vt:lpwstr>
  </property>
</Properties>
</file>